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4F5F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Титульний аркуш Повідомлення</w:t>
      </w:r>
      <w:r>
        <w:rPr>
          <w:rFonts w:eastAsia="Times New Roman"/>
          <w:color w:val="000000"/>
        </w:rPr>
        <w:br/>
        <w:t>(Повідомлення про інформацію)</w:t>
      </w:r>
    </w:p>
    <w:tbl>
      <w:tblPr>
        <w:tblW w:w="517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4454"/>
        <w:gridCol w:w="180"/>
        <w:gridCol w:w="821"/>
        <w:gridCol w:w="180"/>
        <w:gridCol w:w="4709"/>
      </w:tblGrid>
      <w:tr w:rsidR="00000000" w:rsidTr="00D81D9C"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5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17.07.2019</w:t>
            </w:r>
          </w:p>
        </w:tc>
        <w:tc>
          <w:tcPr>
            <w:tcW w:w="22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 w:rsidTr="00D81D9C"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51" w:type="pct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 реєстрації емітентом електронного документа)</w:t>
            </w:r>
          </w:p>
        </w:tc>
        <w:tc>
          <w:tcPr>
            <w:tcW w:w="22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 w:rsidTr="00D81D9C"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№</w:t>
            </w:r>
          </w:p>
        </w:tc>
        <w:tc>
          <w:tcPr>
            <w:tcW w:w="255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22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 w:rsidTr="00D81D9C"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51" w:type="pct"/>
            <w:gridSpan w:val="3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(вихідний реєстраційний номер електронного документа)</w:t>
            </w:r>
          </w:p>
        </w:tc>
        <w:tc>
          <w:tcPr>
            <w:tcW w:w="228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</w:tr>
      <w:tr w:rsidR="00000000" w:rsidTr="00D81D9C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</w:t>
            </w:r>
            <w:r>
              <w:rPr>
                <w:rFonts w:eastAsia="Times New Roman"/>
                <w:color w:val="000000"/>
              </w:rPr>
              <w:t xml:space="preserve">26, зареєстрованого в Міністерстві юстиції України 24 грудня 2013 року за № 2180/24712 (із змінами) </w:t>
            </w:r>
          </w:p>
        </w:tc>
      </w:tr>
      <w:tr w:rsidR="00000000" w:rsidTr="00D81D9C"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8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2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Помазна Свiтлана Iванiвна</w:t>
            </w:r>
          </w:p>
        </w:tc>
      </w:tr>
      <w:tr w:rsidR="00000000" w:rsidTr="00D81D9C"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083" w:type="pct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(посада)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84" w:type="pct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(підпис)</w:t>
            </w:r>
          </w:p>
        </w:tc>
        <w:tc>
          <w:tcPr>
            <w:tcW w:w="8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202" w:type="pct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(прізвище та ініціали керівника)</w:t>
            </w:r>
          </w:p>
        </w:tc>
      </w:tr>
    </w:tbl>
    <w:p w:rsidR="00000000" w:rsidRDefault="006D4F5F">
      <w:pPr>
        <w:rPr>
          <w:rFonts w:eastAsia="Times New Roman"/>
          <w:color w:val="000000"/>
        </w:rPr>
      </w:pPr>
    </w:p>
    <w:p w:rsidR="00000000" w:rsidRDefault="006D4F5F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Особлива інформація (інформація про іпотечні цінні папери, сертифікати фонду операцій з нерухомістю) емітента</w:t>
      </w:r>
    </w:p>
    <w:p w:rsidR="00000000" w:rsidRDefault="006D4F5F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I. Загальні відомості</w:t>
      </w:r>
    </w:p>
    <w:tbl>
      <w:tblPr>
        <w:tblW w:w="5178" w:type="pct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693"/>
      </w:tblGrid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 Повне найменування емітента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i/>
                <w:iCs/>
                <w:color w:val="000000"/>
              </w:rPr>
              <w:t>ПРИВАТНЕ АКЦIОНЕРНЕ ТОВАРИСТВО "ЧЕРНIГIВРИБГОСП"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 Організаційно-правова форма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А</w:t>
            </w:r>
            <w:r>
              <w:rPr>
                <w:rFonts w:eastAsia="Times New Roman"/>
                <w:color w:val="000000"/>
              </w:rPr>
              <w:t xml:space="preserve">кціонерне товариство 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 Місцезнаходження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14014, Чернігівська обл., Чернiгiвський р-н, с.Жавинка, вул. Дачна, 7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 Ідентифікаційний код юридичної особи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00476820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 Міжміський код та телефон, факс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(0462)941030 (0462)941050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 Адреса електронної пошти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cherribhoz@ukr.net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</w:t>
            </w:r>
            <w:r>
              <w:rPr>
                <w:rFonts w:eastAsia="Times New Roman"/>
                <w:color w:val="000000"/>
              </w:rPr>
              <w:t>у, особи, яка здійснює оприлюднення регульованої інформації від імені учасника фондового ринку.</w:t>
            </w:r>
          </w:p>
        </w:tc>
      </w:tr>
      <w:tr w:rsidR="00000000" w:rsidTr="00D81D9C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00000" w:rsidRDefault="006D4F5F" w:rsidP="00D81D9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Державна установа «Агентство з розвитку iнфраструктури фондового ринку України"</w:t>
            </w:r>
            <w:r>
              <w:rPr>
                <w:rFonts w:eastAsia="Times New Roman"/>
                <w:color w:val="000000"/>
              </w:rPr>
              <w:br/>
              <w:t>21676262</w:t>
            </w:r>
            <w:r w:rsidR="00D81D9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</w:rPr>
              <w:t xml:space="preserve">УКРАЇНА </w:t>
            </w:r>
            <w:r>
              <w:rPr>
                <w:rFonts w:eastAsia="Times New Roman"/>
                <w:color w:val="000000"/>
              </w:rPr>
              <w:t>DR/00001/АРА</w:t>
            </w:r>
          </w:p>
        </w:tc>
      </w:tr>
      <w:tr w:rsidR="00000000" w:rsidTr="00D81D9C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</w:tr>
    </w:tbl>
    <w:p w:rsidR="00000000" w:rsidRDefault="006D4F5F">
      <w:pPr>
        <w:pStyle w:val="4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II. Дані про дату та місце оприлюднення П</w:t>
      </w:r>
      <w:r>
        <w:rPr>
          <w:rFonts w:eastAsia="Times New Roman"/>
          <w:color w:val="000000"/>
        </w:rPr>
        <w:t>овідомлення (Повідомлення про інформацію)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59"/>
        <w:gridCol w:w="4186"/>
        <w:gridCol w:w="180"/>
        <w:gridCol w:w="1200"/>
      </w:tblGrid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http://cherfish.com.ua/ua/about_company/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17.07.2019</w:t>
            </w:r>
          </w:p>
        </w:tc>
      </w:tr>
      <w:tr w:rsidR="000000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(адреса сторінки)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Style w:val="small-text1"/>
                <w:rFonts w:eastAsia="Times New Roman"/>
                <w:color w:val="000000"/>
              </w:rPr>
              <w:t>(дата)</w:t>
            </w:r>
          </w:p>
        </w:tc>
      </w:tr>
    </w:tbl>
    <w:p w:rsidR="00000000" w:rsidRDefault="006D4F5F">
      <w:pPr>
        <w:rPr>
          <w:rFonts w:eastAsia="Times New Roman"/>
          <w:color w:val="000000"/>
        </w:rPr>
        <w:sectPr w:rsidR="00000000" w:rsidSect="00D81D9C">
          <w:pgSz w:w="11907" w:h="16840"/>
          <w:pgMar w:top="709" w:right="851" w:bottom="851" w:left="851" w:header="0" w:footer="0" w:gutter="0"/>
          <w:cols w:space="708"/>
          <w:docGrid w:linePitch="360"/>
        </w:sectPr>
      </w:pPr>
    </w:p>
    <w:p w:rsidR="00000000" w:rsidRDefault="006D4F5F">
      <w:pPr>
        <w:pStyle w:val="3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Відомості про зміну складу посадових осіб емітента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155"/>
        <w:gridCol w:w="1407"/>
        <w:gridCol w:w="2905"/>
        <w:gridCol w:w="5900"/>
        <w:gridCol w:w="1408"/>
      </w:tblGrid>
      <w:tr w:rsidR="00000000">
        <w:trPr>
          <w:tblHeader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Дата вчинення дії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Зміни (призначено, звільнено, обрано або припинено повноваження)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Посада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Прізвище, ім'я, по батькові або повне найменування юридичної особи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Ідентифікаційний код юридичної особи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Розмір частки в статутному капіталі емітента (у відсотках)</w:t>
            </w:r>
          </w:p>
        </w:tc>
      </w:tr>
      <w:tr w:rsidR="00000000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Тимчасово виконуюча обов’язки Голови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Помазна Свiтлана Iванiвна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 т.в.о. Голови правлiння Помазної Свiтлани Iванiвни 16.07.2019 згiдно рiшення Наглядової ради (Протокол наглядової ради вiд 16.07.2019) в зв'язку з переобранням складу правлiння. Посадова особа до кримiнальної вiдповiдальностi за кори</w:t>
            </w:r>
            <w:r>
              <w:rPr>
                <w:rFonts w:eastAsia="Times New Roman"/>
                <w:color w:val="000000"/>
              </w:rPr>
              <w:t>сливi та посадовi злочини не притягалась. На посадi працювала з 15.12.2015 р. Акцiями не володiє.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призначено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Голова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Помазна Свiтлана Iванiвна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Помазну Свiтлану Iванiвну обрано (призначено) на посаду Голови правлiння згiдно рiшення Наглядової ради (Протокол наглядової ради вiд 16.07.2019) в зв'язку з обранням нового складу правлiння на 3 роки. Посадова особа до кримiнальної вiдповiдальностi за кор</w:t>
            </w:r>
            <w:r>
              <w:rPr>
                <w:rFonts w:eastAsia="Times New Roman"/>
                <w:color w:val="000000"/>
              </w:rPr>
              <w:t>исливi та посадовi злочини не притягалась. Попереднi посади протягом останнiх 5 рокiв: т.в.о. Голови правлiння емiтента, за сумiсництвом директор ТОВ "Бiзнесiнвестгруп" ЄДРПОУ 34018822 , не володiє акцiями емiтента.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</w:t>
            </w:r>
            <w:r>
              <w:rPr>
                <w:rFonts w:eastAsia="Times New Roman"/>
                <w:color w:val="000000"/>
              </w:rPr>
              <w:t>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Бабенко Вiктор Iванович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Припинено повноваження члена правлiння Бабенка Вiктора Iвановича 16.07.2019 згiдно рiшення Наглядової ради (Протокол </w:t>
            </w:r>
            <w:r>
              <w:rPr>
                <w:rFonts w:eastAsia="Times New Roman"/>
                <w:color w:val="000000"/>
              </w:rPr>
              <w:t xml:space="preserve">наглядової ради вiд 16.07.2019) в зв'язку з переобранням складу правлiння. Посадова особа до кримiнальної вiдповiдальностi за корисливi та посадовi злочини </w:t>
            </w:r>
            <w:r>
              <w:rPr>
                <w:rFonts w:eastAsia="Times New Roman"/>
                <w:color w:val="000000"/>
              </w:rPr>
              <w:lastRenderedPageBreak/>
              <w:t>не притягалась. На посадi працював з 23.04.2014 р. Акцiями не володiє.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16.07.2019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припинено повноваження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Католик Галина Миколаївна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Припинено повноваження члена правлiння Католик Галини Миколаївни 16.07.2019 згiдно рiшення Наглядової ради (Протокол </w:t>
            </w:r>
            <w:r>
              <w:rPr>
                <w:rFonts w:eastAsia="Times New Roman"/>
                <w:color w:val="000000"/>
              </w:rPr>
              <w:t>наглядової ради вiд 16.07.2019) в зв'язку з переобранням складу правлiння. Посадова особа до кримiнальної вiдповiдальностi за корисливi та посадовi злочини не притягалась. На посадi працювала з 23.04.2014 р. Акцiями не володiє.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призначе</w:t>
            </w:r>
            <w:r>
              <w:rPr>
                <w:rFonts w:eastAsia="Times New Roman"/>
                <w:color w:val="000000"/>
              </w:rPr>
              <w:t>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Бабенко Вiктор Iванови</w:t>
            </w:r>
            <w:bookmarkStart w:id="0" w:name="_GoBack"/>
            <w:bookmarkEnd w:id="0"/>
            <w:r>
              <w:rPr>
                <w:rFonts w:eastAsia="Times New Roman"/>
                <w:color w:val="000000"/>
              </w:rPr>
              <w:t xml:space="preserve">ч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Бабенка Вiктора Iвановича </w:t>
            </w:r>
            <w:r>
              <w:rPr>
                <w:rFonts w:eastAsia="Times New Roman"/>
                <w:color w:val="000000"/>
              </w:rPr>
              <w:t xml:space="preserve">обрано (призначено) на посаду Члена правлiння згiдно рiшення Наглядової ради (Протокол наглядової ради вiд 16.07.2019) в зв'язку з обранням нового складу правлiння на 3 роки. Посадова особа до кримiнальної вiдповiдальностi за корисливi та посадовi злочини </w:t>
            </w:r>
            <w:r>
              <w:rPr>
                <w:rFonts w:eastAsia="Times New Roman"/>
                <w:color w:val="000000"/>
              </w:rPr>
              <w:t>не притягалась. Попереднi посади протягом останнiх 5 рокiв: член правлiння емiтента, головний рибовод ПрАТ "Чернiгiврибгосп", посад на iнших пiдприємствах не обiймає. Не володiє акцiями емiтента.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призначено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Член правлiння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Семенець В’ячеслав Михайлович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Зміст інформації:</w:t>
            </w:r>
          </w:p>
        </w:tc>
      </w:tr>
      <w:tr w:rsidR="00000000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00000" w:rsidRDefault="006D4F5F">
            <w:pPr>
              <w:ind w:firstLine="20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Семенець В’ячеслава Михайловича </w:t>
            </w:r>
            <w:r>
              <w:rPr>
                <w:rFonts w:eastAsia="Times New Roman"/>
                <w:color w:val="000000"/>
              </w:rPr>
              <w:t xml:space="preserve">обрано (призначено) на посаду Члена правлiння згiдно рiшення Наглядової ради (Протокол наглядової ради вiд 16.07.2019) в зв'язку з обранням нового складу правлiння на 3 роки. Посадова особа до кримiнальної вiдповiдальностi за корисливi та посадовi злочини </w:t>
            </w:r>
            <w:r>
              <w:rPr>
                <w:rFonts w:eastAsia="Times New Roman"/>
                <w:color w:val="000000"/>
              </w:rPr>
              <w:t>не притягалась. Попереднi посади протягом останнiх 5 рокiв: начальник Мньовської рибдiльницi ПрАТ "Чернiгiврибгосп", посад на iнших пiдприємствах не обiймає. Не володiє акцiями емiтента.</w:t>
            </w:r>
          </w:p>
        </w:tc>
      </w:tr>
    </w:tbl>
    <w:p w:rsidR="006D4F5F" w:rsidRDefault="006D4F5F">
      <w:pPr>
        <w:rPr>
          <w:rFonts w:eastAsia="Times New Roman"/>
        </w:rPr>
      </w:pPr>
    </w:p>
    <w:sectPr w:rsidR="006D4F5F">
      <w:pgSz w:w="16840" w:h="11907" w:orient="landscape"/>
      <w:pgMar w:top="1134" w:right="1134" w:bottom="851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E0BEC"/>
    <w:rsid w:val="005E0BEC"/>
    <w:rsid w:val="006D4F5F"/>
    <w:rsid w:val="00D8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after="30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after="225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justify">
    <w:name w:val="justify"/>
    <w:basedOn w:val="a"/>
    <w:pPr>
      <w:spacing w:before="100" w:beforeAutospacing="1" w:after="100" w:afterAutospacing="1"/>
      <w:jc w:val="both"/>
    </w:pPr>
  </w:style>
  <w:style w:type="paragraph" w:customStyle="1" w:styleId="zmist">
    <w:name w:val="zmist"/>
    <w:basedOn w:val="a"/>
    <w:pPr>
      <w:spacing w:before="100" w:beforeAutospacing="1" w:after="100" w:afterAutospacing="1"/>
      <w:ind w:firstLine="200"/>
    </w:pPr>
  </w:style>
  <w:style w:type="paragraph" w:customStyle="1" w:styleId="left">
    <w:name w:val="left"/>
    <w:basedOn w:val="a"/>
    <w:pPr>
      <w:spacing w:before="100" w:beforeAutospacing="1" w:after="100" w:afterAutospacing="1"/>
    </w:pPr>
  </w:style>
  <w:style w:type="paragraph" w:customStyle="1" w:styleId="right">
    <w:name w:val="right"/>
    <w:basedOn w:val="a"/>
    <w:pPr>
      <w:spacing w:before="100" w:beforeAutospacing="1" w:after="100" w:afterAutospacing="1"/>
      <w:jc w:val="right"/>
    </w:pPr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bold">
    <w:name w:val="bold"/>
    <w:basedOn w:val="a"/>
    <w:pPr>
      <w:spacing w:before="100" w:beforeAutospacing="1" w:after="100" w:afterAutospacing="1"/>
    </w:pPr>
    <w:rPr>
      <w:b/>
      <w:bCs/>
    </w:rPr>
  </w:style>
  <w:style w:type="paragraph" w:customStyle="1" w:styleId="brdnone">
    <w:name w:val="brdnone"/>
    <w:basedOn w:val="a"/>
    <w:pPr>
      <w:spacing w:before="100" w:beforeAutospacing="1" w:after="100" w:afterAutospacing="1"/>
    </w:pPr>
  </w:style>
  <w:style w:type="paragraph" w:customStyle="1" w:styleId="brdbtm">
    <w:name w:val="brdbtm"/>
    <w:basedOn w:val="a"/>
    <w:pPr>
      <w:pBdr>
        <w:bottom w:val="single" w:sz="6" w:space="0" w:color="000000"/>
      </w:pBdr>
      <w:spacing w:before="100" w:beforeAutospacing="1" w:after="100" w:afterAutospacing="1"/>
    </w:pPr>
  </w:style>
  <w:style w:type="paragraph" w:customStyle="1" w:styleId="brdtop">
    <w:name w:val="brdtop"/>
    <w:basedOn w:val="a"/>
    <w:pPr>
      <w:pBdr>
        <w:top w:val="single" w:sz="6" w:space="0" w:color="000000"/>
      </w:pBdr>
      <w:spacing w:before="100" w:beforeAutospacing="1" w:after="100" w:afterAutospacing="1"/>
    </w:pPr>
  </w:style>
  <w:style w:type="paragraph" w:customStyle="1" w:styleId="brdall">
    <w:name w:val="brdall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small-text">
    <w:name w:val="small-text"/>
    <w:basedOn w:val="a"/>
    <w:pPr>
      <w:spacing w:before="100" w:beforeAutospacing="1" w:after="100" w:afterAutospacing="1"/>
    </w:pPr>
    <w:rPr>
      <w:sz w:val="20"/>
      <w:szCs w:val="20"/>
    </w:rPr>
  </w:style>
  <w:style w:type="paragraph" w:customStyle="1" w:styleId="pagebreak">
    <w:name w:val="pagebreak"/>
    <w:basedOn w:val="a"/>
    <w:pPr>
      <w:pageBreakBefore/>
      <w:spacing w:before="100" w:beforeAutospacing="1" w:after="100" w:afterAutospacing="1"/>
    </w:pPr>
  </w:style>
  <w:style w:type="character" w:customStyle="1" w:styleId="small-text1">
    <w:name w:val="small-text1"/>
    <w:basedOn w:val="a0"/>
    <w:rPr>
      <w:sz w:val="20"/>
      <w:szCs w:val="20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3324</Words>
  <Characters>1895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2019-07-17T12:36:00Z</dcterms:created>
  <dcterms:modified xsi:type="dcterms:W3CDTF">2019-07-17T12:37:00Z</dcterms:modified>
</cp:coreProperties>
</file>